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FE570E">
        <w:rPr>
          <w:rFonts w:cs="Calibri"/>
          <w:color w:val="1F497D"/>
          <w:sz w:val="24"/>
        </w:rPr>
        <w:t>7.26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1C3704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C361F" w:rsidRDefault="009A063B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4D3A8E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2D4A09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  <w:r w:rsidR="00A2220E">
        <w:rPr>
          <w:rFonts w:cs="Calibri"/>
          <w:color w:val="1F497D"/>
        </w:rPr>
        <w:t xml:space="preserve">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1D4BB7">
        <w:rPr>
          <w:rFonts w:cs="Calibri"/>
          <w:b/>
          <w:color w:val="1F497D"/>
        </w:rPr>
        <w:t>7.26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7B61CE" w:rsidRDefault="00FE570E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Weekly planning meetings are progressing and currently the most pressing items are the deadlines for the BoF and the Call for Participation for Emerging </w:t>
      </w:r>
      <w:r w:rsidR="00BA53DC">
        <w:rPr>
          <w:rFonts w:ascii="Calibri" w:hAnsi="Calibri" w:cs="Calibri"/>
          <w:color w:val="1F497D"/>
          <w:sz w:val="22"/>
          <w:szCs w:val="22"/>
        </w:rPr>
        <w:t>Technologies</w:t>
      </w:r>
      <w:r>
        <w:rPr>
          <w:rFonts w:ascii="Calibri" w:hAnsi="Calibri" w:cs="Calibri"/>
          <w:color w:val="1F497D"/>
          <w:sz w:val="22"/>
          <w:szCs w:val="22"/>
        </w:rPr>
        <w:t>. Both have deadlines of July 31.</w:t>
      </w:r>
    </w:p>
    <w:p w:rsidR="00DF180C" w:rsidRDefault="007B61CE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Also considering reducing the booth size for cost effectiveness.</w:t>
      </w:r>
    </w:p>
    <w:p w:rsidR="00C22528" w:rsidRPr="00E519DF" w:rsidRDefault="00C22528" w:rsidP="00C22528">
      <w:pPr>
        <w:rPr>
          <w:rFonts w:cs="Calibri"/>
          <w:b/>
          <w:color w:val="1F497D"/>
          <w:sz w:val="16"/>
        </w:rPr>
      </w:pPr>
    </w:p>
    <w:p w:rsidR="00C22528" w:rsidRPr="00C22528" w:rsidRDefault="006E71F4" w:rsidP="00C22528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Website </w:t>
      </w:r>
      <w:r w:rsidR="000849D2">
        <w:rPr>
          <w:rFonts w:ascii="Calibri" w:hAnsi="Calibri" w:cs="Calibri"/>
          <w:b/>
          <w:color w:val="1F497D"/>
          <w:sz w:val="22"/>
        </w:rPr>
        <w:t>Redesign</w:t>
      </w:r>
    </w:p>
    <w:p w:rsidR="00FE570E" w:rsidRDefault="00FE570E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Three templates have been selected.</w:t>
      </w:r>
    </w:p>
    <w:p w:rsidR="006E71F4" w:rsidRDefault="00FE570E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Ken is working on mapping the existing content in to the templates.</w:t>
      </w:r>
    </w:p>
    <w:p w:rsidR="006E71F4" w:rsidRDefault="00FE570E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Estimated time for group review of template selection is 2-3 weeks.</w:t>
      </w:r>
    </w:p>
    <w:p w:rsidR="00FE570E" w:rsidRPr="00FE570E" w:rsidRDefault="00FE570E" w:rsidP="00FE570E">
      <w:pPr>
        <w:pStyle w:val="ListParagraph"/>
        <w:numPr>
          <w:ilvl w:val="0"/>
          <w:numId w:val="3"/>
        </w:numPr>
        <w:rPr>
          <w:rFonts w:asciiTheme="minorHAnsi" w:hAnsiTheme="minorHAnsi" w:cs="Calibri"/>
          <w:color w:val="1F497D"/>
          <w:sz w:val="22"/>
        </w:rPr>
      </w:pPr>
      <w:r w:rsidRPr="00FE570E">
        <w:rPr>
          <w:rFonts w:asciiTheme="minorHAnsi" w:hAnsiTheme="minorHAnsi" w:cs="Calibri"/>
          <w:color w:val="1F497D"/>
          <w:sz w:val="22"/>
        </w:rPr>
        <w:t>There is a call set for July 31 to discuss the utilization b</w:t>
      </w:r>
      <w:r w:rsidR="00092DA8">
        <w:rPr>
          <w:rFonts w:asciiTheme="minorHAnsi" w:hAnsiTheme="minorHAnsi" w:cs="Calibri"/>
          <w:color w:val="1F497D"/>
          <w:sz w:val="22"/>
        </w:rPr>
        <w:t>etween new website and Causeway.</w:t>
      </w:r>
    </w:p>
    <w:p w:rsidR="00FE570E" w:rsidRDefault="00FE570E" w:rsidP="00FE570E">
      <w:pPr>
        <w:rPr>
          <w:rFonts w:cs="Calibri"/>
          <w:color w:val="1F497D"/>
        </w:rPr>
      </w:pPr>
    </w:p>
    <w:p w:rsidR="00FE570E" w:rsidRPr="00FE570E" w:rsidRDefault="00FE570E" w:rsidP="00FE570E">
      <w:pPr>
        <w:pStyle w:val="ListParagraph"/>
        <w:numPr>
          <w:ilvl w:val="0"/>
          <w:numId w:val="1"/>
        </w:numPr>
        <w:rPr>
          <w:rFonts w:cs="Calibri"/>
          <w:color w:val="1F497D"/>
        </w:rPr>
      </w:pPr>
      <w:r>
        <w:rPr>
          <w:rFonts w:asciiTheme="minorHAnsi" w:hAnsiTheme="minorHAnsi" w:cs="Calibri"/>
          <w:b/>
          <w:color w:val="1F497D"/>
          <w:sz w:val="22"/>
        </w:rPr>
        <w:t>Hot Interconnects Participation</w:t>
      </w:r>
    </w:p>
    <w:p w:rsidR="0051275B" w:rsidRPr="0051275B" w:rsidRDefault="0051275B" w:rsidP="00FE570E">
      <w:pPr>
        <w:pStyle w:val="ListParagraph"/>
        <w:numPr>
          <w:ilvl w:val="0"/>
          <w:numId w:val="21"/>
        </w:numPr>
        <w:rPr>
          <w:rFonts w:cs="Calibri"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 xml:space="preserve">It was agreed that we would not participate in this year’s event but will keep on the master calendar for possible 2014 </w:t>
      </w:r>
      <w:r w:rsidR="00BA53DC">
        <w:rPr>
          <w:rFonts w:asciiTheme="minorHAnsi" w:hAnsiTheme="minorHAnsi" w:cs="Calibri"/>
          <w:color w:val="1F497D"/>
          <w:sz w:val="22"/>
        </w:rPr>
        <w:t>involvement</w:t>
      </w:r>
      <w:r>
        <w:rPr>
          <w:rFonts w:asciiTheme="minorHAnsi" w:hAnsiTheme="minorHAnsi" w:cs="Calibri"/>
          <w:color w:val="1F497D"/>
          <w:sz w:val="22"/>
        </w:rPr>
        <w:t>.</w:t>
      </w:r>
    </w:p>
    <w:p w:rsidR="0051275B" w:rsidRDefault="0051275B" w:rsidP="0051275B">
      <w:pPr>
        <w:rPr>
          <w:rFonts w:cs="Calibri"/>
          <w:color w:val="1F497D"/>
        </w:rPr>
      </w:pPr>
    </w:p>
    <w:p w:rsidR="0051275B" w:rsidRPr="0051275B" w:rsidRDefault="0051275B" w:rsidP="0051275B">
      <w:pPr>
        <w:pStyle w:val="ListParagraph"/>
        <w:numPr>
          <w:ilvl w:val="0"/>
          <w:numId w:val="1"/>
        </w:numPr>
        <w:rPr>
          <w:rFonts w:cs="Calibri"/>
          <w:b/>
          <w:color w:val="1F497D"/>
        </w:rPr>
      </w:pPr>
      <w:r w:rsidRPr="0051275B">
        <w:rPr>
          <w:rFonts w:asciiTheme="minorHAnsi" w:hAnsiTheme="minorHAnsi" w:cs="Calibri"/>
          <w:b/>
          <w:color w:val="1F497D"/>
          <w:sz w:val="22"/>
        </w:rPr>
        <w:t>SNW Europe Participation</w:t>
      </w:r>
    </w:p>
    <w:p w:rsidR="0051275B" w:rsidRPr="0051275B" w:rsidRDefault="0051275B" w:rsidP="0051275B">
      <w:pPr>
        <w:pStyle w:val="ListParagraph"/>
        <w:numPr>
          <w:ilvl w:val="0"/>
          <w:numId w:val="23"/>
        </w:numPr>
        <w:rPr>
          <w:rFonts w:cs="Calibri"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 xml:space="preserve">Participation would be through the SNIA Alliance Partner program. </w:t>
      </w:r>
    </w:p>
    <w:p w:rsidR="0051275B" w:rsidRPr="0051275B" w:rsidRDefault="0051275B" w:rsidP="0051275B">
      <w:pPr>
        <w:pStyle w:val="ListParagraph"/>
        <w:numPr>
          <w:ilvl w:val="0"/>
          <w:numId w:val="23"/>
        </w:numPr>
        <w:rPr>
          <w:rFonts w:cs="Calibri"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>Could be a good event for 2014 involvement.</w:t>
      </w:r>
    </w:p>
    <w:p w:rsidR="00FE570E" w:rsidRPr="0051275B" w:rsidRDefault="0051275B" w:rsidP="0051275B">
      <w:pPr>
        <w:pStyle w:val="ListParagraph"/>
        <w:numPr>
          <w:ilvl w:val="0"/>
          <w:numId w:val="23"/>
        </w:numPr>
        <w:rPr>
          <w:rFonts w:cs="Calibri"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 xml:space="preserve">Rebecca Moran to see if OFA members are allowed to participate or if involvement is </w:t>
      </w:r>
      <w:r w:rsidR="00BA53DC">
        <w:rPr>
          <w:rFonts w:asciiTheme="minorHAnsi" w:hAnsiTheme="minorHAnsi" w:cs="Calibri"/>
          <w:color w:val="1F497D"/>
          <w:sz w:val="22"/>
        </w:rPr>
        <w:t>intended</w:t>
      </w:r>
      <w:r>
        <w:rPr>
          <w:rFonts w:asciiTheme="minorHAnsi" w:hAnsiTheme="minorHAnsi" w:cs="Calibri"/>
          <w:color w:val="1F497D"/>
          <w:sz w:val="22"/>
        </w:rPr>
        <w:t xml:space="preserve"> for the OFA organization as a whole.</w:t>
      </w:r>
    </w:p>
    <w:p w:rsidR="00B665B7" w:rsidRPr="00FE570E" w:rsidRDefault="00B665B7" w:rsidP="00FE570E">
      <w:pPr>
        <w:rPr>
          <w:rFonts w:cs="Calibri"/>
          <w:color w:val="1F497D"/>
        </w:rPr>
      </w:pPr>
    </w:p>
    <w:p w:rsidR="00B665B7" w:rsidRDefault="00B665B7" w:rsidP="001D4BB7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427461" w:rsidP="00B665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Paul and Ketner Group </w:t>
      </w:r>
      <w:r w:rsidR="0051275B">
        <w:rPr>
          <w:rFonts w:ascii="Calibri" w:hAnsi="Calibri" w:cs="Calibri"/>
          <w:color w:val="1F497D"/>
          <w:sz w:val="22"/>
        </w:rPr>
        <w:t xml:space="preserve">close to finalizing </w:t>
      </w:r>
      <w:r>
        <w:rPr>
          <w:rFonts w:ascii="Calibri" w:hAnsi="Calibri" w:cs="Calibri"/>
          <w:color w:val="1F497D"/>
          <w:sz w:val="22"/>
        </w:rPr>
        <w:t>Vice-Chair announcement.</w:t>
      </w:r>
    </w:p>
    <w:p w:rsidR="0051275B" w:rsidRPr="0051275B" w:rsidRDefault="00F630E7" w:rsidP="00680943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Blog Topics / Schedule</w:t>
      </w:r>
    </w:p>
    <w:p w:rsidR="00680943" w:rsidRPr="00BA53DC" w:rsidRDefault="0051275B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 w:rsidRPr="00BA53DC">
        <w:rPr>
          <w:rFonts w:ascii="Calibri" w:hAnsi="Calibri" w:cs="Calibri"/>
          <w:color w:val="1F497D"/>
          <w:sz w:val="22"/>
        </w:rPr>
        <w:t xml:space="preserve">New potential blog posts include post from Xyratex, Rich </w:t>
      </w:r>
      <w:r w:rsidR="00BA53DC" w:rsidRPr="00BA53DC">
        <w:rPr>
          <w:rFonts w:ascii="Calibri" w:hAnsi="Calibri" w:cs="Calibri"/>
          <w:color w:val="1F497D"/>
          <w:sz w:val="22"/>
        </w:rPr>
        <w:t>Brueckner, and Pete Harris of Low Latency.</w:t>
      </w:r>
    </w:p>
    <w:p w:rsidR="00BA53DC" w:rsidRPr="00BA53DC" w:rsidRDefault="00F630E7" w:rsidP="00680943">
      <w:pPr>
        <w:pStyle w:val="ListParagraph"/>
        <w:numPr>
          <w:ilvl w:val="0"/>
          <w:numId w:val="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Ketner Group and Gilda Foss to discuss setting up a blog schedule and topics.</w:t>
      </w:r>
    </w:p>
    <w:p w:rsidR="00680943" w:rsidRPr="00BA53DC" w:rsidRDefault="00BA53DC" w:rsidP="00BA53DC">
      <w:pPr>
        <w:pStyle w:val="ListParagraph"/>
        <w:numPr>
          <w:ilvl w:val="0"/>
          <w:numId w:val="8"/>
        </w:numPr>
        <w:rPr>
          <w:rFonts w:cs="Calibri"/>
          <w:b/>
          <w:color w:val="1F497D"/>
        </w:rPr>
      </w:pPr>
      <w:r>
        <w:rPr>
          <w:rFonts w:ascii="Calibri" w:hAnsi="Calibri" w:cs="Calibri"/>
          <w:color w:val="1F497D"/>
          <w:sz w:val="22"/>
          <w:szCs w:val="22"/>
        </w:rPr>
        <w:t>Combined press release to go out the first part of August regarding October Interop event and the results from the May event.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B665B7" w:rsidRPr="00E745A8" w:rsidRDefault="00321E67" w:rsidP="00E745A8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OFA~</w:t>
      </w:r>
      <w:r w:rsidR="00F64BE5">
        <w:rPr>
          <w:rFonts w:ascii="Calibri" w:hAnsi="Calibri" w:cs="Calibri"/>
          <w:b/>
          <w:color w:val="1F497D"/>
          <w:sz w:val="22"/>
        </w:rPr>
        <w:t>MWG</w:t>
      </w:r>
      <w:r>
        <w:rPr>
          <w:rFonts w:ascii="Calibri" w:hAnsi="Calibri" w:cs="Calibri"/>
          <w:b/>
          <w:color w:val="1F497D"/>
          <w:sz w:val="22"/>
        </w:rPr>
        <w:t xml:space="preserve"> meeting</w:t>
      </w:r>
      <w:r w:rsidR="00EB280F">
        <w:rPr>
          <w:rFonts w:ascii="Calibri" w:hAnsi="Calibri" w:cs="Calibri"/>
          <w:b/>
          <w:color w:val="1F497D"/>
          <w:sz w:val="22"/>
        </w:rPr>
        <w:t xml:space="preserve"> will be held on Friday, </w:t>
      </w:r>
      <w:r w:rsidR="00BA53DC">
        <w:rPr>
          <w:rFonts w:ascii="Calibri" w:hAnsi="Calibri" w:cs="Calibri"/>
          <w:b/>
          <w:color w:val="1F497D"/>
          <w:sz w:val="22"/>
        </w:rPr>
        <w:t>August 9, 2013</w:t>
      </w: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InfiniBand Fabric Admin.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20-21,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Writing Application Programs for RDMA using OFA software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22-23,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October 14-18,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March 30-April 2,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3-4, 2014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0EF4736"/>
    <w:multiLevelType w:val="hybridMultilevel"/>
    <w:tmpl w:val="49BC3E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7E25F9C"/>
    <w:multiLevelType w:val="hybridMultilevel"/>
    <w:tmpl w:val="3C747F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309EA"/>
    <w:multiLevelType w:val="hybridMultilevel"/>
    <w:tmpl w:val="180E340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78430AB"/>
    <w:multiLevelType w:val="multilevel"/>
    <w:tmpl w:val="B15A70A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312C2EA5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3C2D49"/>
    <w:multiLevelType w:val="hybridMultilevel"/>
    <w:tmpl w:val="E9249A6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35251564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D202F3B"/>
    <w:multiLevelType w:val="hybridMultilevel"/>
    <w:tmpl w:val="3C588B3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EE04F9F"/>
    <w:multiLevelType w:val="hybridMultilevel"/>
    <w:tmpl w:val="9E387C0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C483D6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5D8A2EA6"/>
    <w:multiLevelType w:val="hybridMultilevel"/>
    <w:tmpl w:val="1974F25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638233DC"/>
    <w:multiLevelType w:val="hybridMultilevel"/>
    <w:tmpl w:val="53A6801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6DE530E0"/>
    <w:multiLevelType w:val="hybridMultilevel"/>
    <w:tmpl w:val="6A944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6085BB8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76697C19"/>
    <w:multiLevelType w:val="multilevel"/>
    <w:tmpl w:val="9E387C0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786923D4"/>
    <w:multiLevelType w:val="multilevel"/>
    <w:tmpl w:val="694270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18"/>
  </w:num>
  <w:num w:numId="7">
    <w:abstractNumId w:val="11"/>
  </w:num>
  <w:num w:numId="8">
    <w:abstractNumId w:val="19"/>
  </w:num>
  <w:num w:numId="9">
    <w:abstractNumId w:val="16"/>
  </w:num>
  <w:num w:numId="10">
    <w:abstractNumId w:val="26"/>
  </w:num>
  <w:num w:numId="11">
    <w:abstractNumId w:val="22"/>
  </w:num>
  <w:num w:numId="12">
    <w:abstractNumId w:val="5"/>
  </w:num>
  <w:num w:numId="13">
    <w:abstractNumId w:val="9"/>
  </w:num>
  <w:num w:numId="14">
    <w:abstractNumId w:val="1"/>
  </w:num>
  <w:num w:numId="15">
    <w:abstractNumId w:val="23"/>
  </w:num>
  <w:num w:numId="16">
    <w:abstractNumId w:val="20"/>
  </w:num>
  <w:num w:numId="17">
    <w:abstractNumId w:val="17"/>
  </w:num>
  <w:num w:numId="18">
    <w:abstractNumId w:val="21"/>
  </w:num>
  <w:num w:numId="19">
    <w:abstractNumId w:val="10"/>
  </w:num>
  <w:num w:numId="20">
    <w:abstractNumId w:val="25"/>
  </w:num>
  <w:num w:numId="21">
    <w:abstractNumId w:val="13"/>
  </w:num>
  <w:num w:numId="22">
    <w:abstractNumId w:val="8"/>
  </w:num>
  <w:num w:numId="23">
    <w:abstractNumId w:val="3"/>
  </w:num>
  <w:num w:numId="24">
    <w:abstractNumId w:val="4"/>
  </w:num>
  <w:num w:numId="25">
    <w:abstractNumId w:val="12"/>
  </w:num>
  <w:num w:numId="26">
    <w:abstractNumId w:val="24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C3704"/>
    <w:rsid w:val="001D4BB7"/>
    <w:rsid w:val="001E7E49"/>
    <w:rsid w:val="00253986"/>
    <w:rsid w:val="00266420"/>
    <w:rsid w:val="0027448D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27461"/>
    <w:rsid w:val="0044398F"/>
    <w:rsid w:val="00456A76"/>
    <w:rsid w:val="00466F91"/>
    <w:rsid w:val="004717EF"/>
    <w:rsid w:val="004754DD"/>
    <w:rsid w:val="004908F5"/>
    <w:rsid w:val="004D3A8E"/>
    <w:rsid w:val="004E0D24"/>
    <w:rsid w:val="00501EB3"/>
    <w:rsid w:val="00504B72"/>
    <w:rsid w:val="0051275B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5286"/>
    <w:rsid w:val="007E7D6F"/>
    <w:rsid w:val="007F08AF"/>
    <w:rsid w:val="007F1AAF"/>
    <w:rsid w:val="00810105"/>
    <w:rsid w:val="00853DBC"/>
    <w:rsid w:val="00864966"/>
    <w:rsid w:val="00870647"/>
    <w:rsid w:val="008A4830"/>
    <w:rsid w:val="008D6040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A1231"/>
    <w:rsid w:val="00BA53DC"/>
    <w:rsid w:val="00BB52FD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B0A14"/>
    <w:rsid w:val="00DE19C3"/>
    <w:rsid w:val="00DF180C"/>
    <w:rsid w:val="00DF7DBB"/>
    <w:rsid w:val="00E01A2C"/>
    <w:rsid w:val="00E26BE6"/>
    <w:rsid w:val="00E519DF"/>
    <w:rsid w:val="00E60251"/>
    <w:rsid w:val="00E66382"/>
    <w:rsid w:val="00E745A8"/>
    <w:rsid w:val="00E816D0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1660</Characters>
  <Application>Microsoft Macintosh Word</Application>
  <DocSecurity>0</DocSecurity>
  <Lines>13</Lines>
  <Paragraphs>3</Paragraphs>
  <ScaleCrop>false</ScaleCrop>
  <Company>Genco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5</cp:revision>
  <cp:lastPrinted>2013-07-26T21:08:00Z</cp:lastPrinted>
  <dcterms:created xsi:type="dcterms:W3CDTF">2013-07-26T20:59:00Z</dcterms:created>
  <dcterms:modified xsi:type="dcterms:W3CDTF">2013-07-26T21:11:00Z</dcterms:modified>
</cp:coreProperties>
</file>