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5D649865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042439">
        <w:rPr>
          <w:b/>
        </w:rPr>
        <w:t>0</w:t>
      </w:r>
      <w:r w:rsidR="0003069B">
        <w:rPr>
          <w:b/>
        </w:rPr>
        <w:t>5</w:t>
      </w:r>
      <w:r w:rsidR="005701FE">
        <w:rPr>
          <w:b/>
        </w:rPr>
        <w:t>/</w:t>
      </w:r>
      <w:r w:rsidR="0003069B">
        <w:rPr>
          <w:b/>
        </w:rPr>
        <w:t>07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5EDA90B0" w14:textId="57575095" w:rsidR="00AA0D30" w:rsidRDefault="00AA0D30" w:rsidP="0037058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4BBB54AC" w14:textId="42BE417D" w:rsidR="003F082B" w:rsidRDefault="0003069B" w:rsidP="0037058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Continue Collectives Discussion</w:t>
      </w:r>
    </w:p>
    <w:p w14:paraId="2FA92894" w14:textId="0953E7D2" w:rsidR="003F082B" w:rsidRPr="0003069B" w:rsidRDefault="0003069B" w:rsidP="0037058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Feedback on Traffic Classification proposal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1A531CB1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633E501B" w14:textId="6894036F" w:rsidR="000479FB" w:rsidRDefault="000479FB" w:rsidP="005B2662">
      <w:pPr>
        <w:spacing w:after="0"/>
        <w:rPr>
          <w:rFonts w:ascii="Calibri" w:hAnsi="Calibri"/>
          <w:b/>
          <w:szCs w:val="21"/>
        </w:rPr>
      </w:pPr>
    </w:p>
    <w:p w14:paraId="589968E0" w14:textId="712F67AB" w:rsidR="00D8759C" w:rsidRDefault="003F082B" w:rsidP="0003069B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Discussion – </w:t>
      </w:r>
      <w:r w:rsidR="0003069B">
        <w:rPr>
          <w:rFonts w:ascii="Calibri" w:hAnsi="Calibri"/>
          <w:b/>
          <w:szCs w:val="21"/>
        </w:rPr>
        <w:t>Continue Collectives Discussion</w:t>
      </w:r>
    </w:p>
    <w:p w14:paraId="42A90EC5" w14:textId="5F3AB575" w:rsidR="0003069B" w:rsidRDefault="0003069B" w:rsidP="0003069B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Two parts:</w:t>
      </w:r>
    </w:p>
    <w:p w14:paraId="66231BC9" w14:textId="21011DE3" w:rsidR="0003069B" w:rsidRDefault="0003069B" w:rsidP="0037058D">
      <w:pPr>
        <w:pStyle w:val="ListParagraph"/>
        <w:numPr>
          <w:ilvl w:val="0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Membership – two possibilities.</w:t>
      </w:r>
    </w:p>
    <w:p w14:paraId="6A503613" w14:textId="6BEDE48E" w:rsidR="0003069B" w:rsidRDefault="0003069B" w:rsidP="0037058D">
      <w:pPr>
        <w:pStyle w:val="ListParagraph"/>
        <w:numPr>
          <w:ilvl w:val="1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proposal is that e.g. MPI would fully manage the collective group in a multicast style</w:t>
      </w:r>
    </w:p>
    <w:p w14:paraId="20660310" w14:textId="42E44908" w:rsidR="0003069B" w:rsidRDefault="0003069B" w:rsidP="0037058D">
      <w:pPr>
        <w:pStyle w:val="ListParagraph"/>
        <w:numPr>
          <w:ilvl w:val="1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push it down below the libfabric level.</w:t>
      </w:r>
    </w:p>
    <w:p w14:paraId="4AD2A141" w14:textId="3983C0BE" w:rsidR="0003069B" w:rsidRDefault="0003069B" w:rsidP="0003069B">
      <w:pPr>
        <w:spacing w:after="0"/>
        <w:ind w:left="72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Two step</w:t>
      </w:r>
      <w:proofErr w:type="spellEnd"/>
      <w:r>
        <w:rPr>
          <w:rFonts w:ascii="Calibri" w:hAnsi="Calibri"/>
          <w:szCs w:val="21"/>
        </w:rPr>
        <w:t xml:space="preserve"> process:</w:t>
      </w:r>
    </w:p>
    <w:p w14:paraId="0E861530" w14:textId="37CE1404" w:rsidR="0003069B" w:rsidRDefault="0003069B" w:rsidP="0037058D">
      <w:pPr>
        <w:pStyle w:val="ListParagraph"/>
        <w:numPr>
          <w:ilvl w:val="0"/>
          <w:numId w:val="3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identify the peer members</w:t>
      </w:r>
      <w:r w:rsidR="0070158F">
        <w:rPr>
          <w:rFonts w:ascii="Calibri" w:hAnsi="Calibri"/>
          <w:szCs w:val="21"/>
        </w:rPr>
        <w:t xml:space="preserve"> via new construct ‘AV Set’, very close to an MPI group.</w:t>
      </w:r>
    </w:p>
    <w:p w14:paraId="3D111F3F" w14:textId="77E2BA36" w:rsidR="0003069B" w:rsidRDefault="0070158F" w:rsidP="0037058D">
      <w:pPr>
        <w:pStyle w:val="ListParagraph"/>
        <w:numPr>
          <w:ilvl w:val="0"/>
          <w:numId w:val="3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join the collective</w:t>
      </w:r>
    </w:p>
    <w:p w14:paraId="500EA4E0" w14:textId="02815D7A" w:rsidR="0070158F" w:rsidRDefault="00AA3F53" w:rsidP="0070158F">
      <w:pPr>
        <w:spacing w:after="0"/>
        <w:ind w:left="72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For some collective operations, the order of members may matter.</w:t>
      </w:r>
    </w:p>
    <w:p w14:paraId="37EBB7D6" w14:textId="2E4826BC" w:rsidR="00AA3F53" w:rsidRDefault="00AA3F53" w:rsidP="0070158F">
      <w:pPr>
        <w:spacing w:after="0"/>
        <w:ind w:left="72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Very similar to a multicast group, but with a few differences such as ordering. There are also a few requirements related to data buffers, which are identified at the time of the operation.</w:t>
      </w:r>
    </w:p>
    <w:p w14:paraId="2102BF15" w14:textId="33E7A04D" w:rsidR="00AA3F53" w:rsidRDefault="00AA3F53" w:rsidP="0070158F">
      <w:pPr>
        <w:spacing w:after="0"/>
        <w:ind w:left="72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Join operation may involve network traffic, depending on whether the provider implements the join or not</w:t>
      </w:r>
      <w:r w:rsidR="00327BC7">
        <w:rPr>
          <w:rFonts w:ascii="Calibri" w:hAnsi="Calibri"/>
          <w:szCs w:val="21"/>
        </w:rPr>
        <w:t xml:space="preserve"> and whether the join is local or remote.</w:t>
      </w:r>
    </w:p>
    <w:p w14:paraId="5F5D4813" w14:textId="3CE40674" w:rsidR="00AA3F53" w:rsidRDefault="00AA3F53" w:rsidP="0037058D">
      <w:pPr>
        <w:pStyle w:val="ListParagraph"/>
        <w:numPr>
          <w:ilvl w:val="0"/>
          <w:numId w:val="4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Local vs remote flag – the join operation could go only to the local node, or it could be distributed across the fabric. </w:t>
      </w:r>
    </w:p>
    <w:p w14:paraId="12D8712D" w14:textId="57FD780C" w:rsidR="00AA3F53" w:rsidRDefault="00AA3F53" w:rsidP="0037058D">
      <w:pPr>
        <w:pStyle w:val="ListParagraph"/>
        <w:numPr>
          <w:ilvl w:val="0"/>
          <w:numId w:val="4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Expected to be an asynchronous operation (both local and remote, although local is negotiable).</w:t>
      </w:r>
    </w:p>
    <w:p w14:paraId="31F3488A" w14:textId="5CDD885C" w:rsidR="00327BC7" w:rsidRDefault="00327BC7" w:rsidP="0037058D">
      <w:pPr>
        <w:pStyle w:val="ListParagraph"/>
        <w:numPr>
          <w:ilvl w:val="0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Collective operations</w:t>
      </w:r>
    </w:p>
    <w:p w14:paraId="39C50F28" w14:textId="103FE938" w:rsidR="00327BC7" w:rsidRDefault="00327BC7" w:rsidP="0037058D">
      <w:pPr>
        <w:pStyle w:val="ListParagraph"/>
        <w:numPr>
          <w:ilvl w:val="1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New FI_COLLECTIVE capability bit</w:t>
      </w:r>
    </w:p>
    <w:p w14:paraId="7EE2D398" w14:textId="09365B37" w:rsidR="00327BC7" w:rsidRDefault="00327BC7" w:rsidP="0037058D">
      <w:pPr>
        <w:pStyle w:val="ListParagraph"/>
        <w:numPr>
          <w:ilvl w:val="1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Based on existing atomic interface</w:t>
      </w:r>
    </w:p>
    <w:p w14:paraId="05560FE5" w14:textId="6E68C5E2" w:rsidR="00327BC7" w:rsidRDefault="00327BC7" w:rsidP="0037058D">
      <w:pPr>
        <w:pStyle w:val="ListParagraph"/>
        <w:numPr>
          <w:ilvl w:val="1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Includes new static inline wrappers (for user convenience)</w:t>
      </w:r>
    </w:p>
    <w:p w14:paraId="447C65A3" w14:textId="38915CC3" w:rsidR="00327BC7" w:rsidRDefault="00327BC7" w:rsidP="0037058D">
      <w:pPr>
        <w:pStyle w:val="ListParagraph"/>
        <w:numPr>
          <w:ilvl w:val="1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Handles most of the popular collective calls</w:t>
      </w:r>
    </w:p>
    <w:p w14:paraId="3BA06E32" w14:textId="16323D0F" w:rsidR="00327BC7" w:rsidRDefault="00327BC7" w:rsidP="0037058D">
      <w:pPr>
        <w:pStyle w:val="ListParagraph"/>
        <w:numPr>
          <w:ilvl w:val="1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Examples:</w:t>
      </w:r>
    </w:p>
    <w:p w14:paraId="205D2212" w14:textId="370FC672" w:rsidR="00327BC7" w:rsidRDefault="00327BC7" w:rsidP="0037058D">
      <w:pPr>
        <w:pStyle w:val="ListParagraph"/>
        <w:numPr>
          <w:ilvl w:val="2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Barrier – </w:t>
      </w:r>
      <w:proofErr w:type="spellStart"/>
      <w:r>
        <w:rPr>
          <w:rFonts w:ascii="Calibri" w:hAnsi="Calibri"/>
          <w:szCs w:val="21"/>
        </w:rPr>
        <w:t>fi_barrier</w:t>
      </w:r>
      <w:proofErr w:type="spellEnd"/>
      <w:r>
        <w:rPr>
          <w:rFonts w:ascii="Calibri" w:hAnsi="Calibri"/>
          <w:szCs w:val="21"/>
        </w:rPr>
        <w:t xml:space="preserve"> static inline</w:t>
      </w:r>
      <w:r w:rsidR="00FB325C">
        <w:rPr>
          <w:rFonts w:ascii="Calibri" w:hAnsi="Calibri"/>
          <w:szCs w:val="21"/>
        </w:rPr>
        <w:t xml:space="preserve"> </w:t>
      </w:r>
      <w:r w:rsidR="00FB325C" w:rsidRPr="00FB325C">
        <w:rPr>
          <w:rFonts w:ascii="Calibri" w:hAnsi="Calibri"/>
          <w:szCs w:val="21"/>
        </w:rPr>
        <w:sym w:font="Wingdings" w:char="F0E0"/>
      </w:r>
      <w:r>
        <w:rPr>
          <w:rFonts w:ascii="Calibri" w:hAnsi="Calibri"/>
          <w:szCs w:val="21"/>
        </w:rPr>
        <w:t xml:space="preserve"> </w:t>
      </w:r>
      <w:proofErr w:type="spellStart"/>
      <w:r>
        <w:rPr>
          <w:rFonts w:ascii="Calibri" w:hAnsi="Calibri"/>
          <w:szCs w:val="21"/>
        </w:rPr>
        <w:t>fi_atomic</w:t>
      </w:r>
      <w:proofErr w:type="spellEnd"/>
      <w:r>
        <w:rPr>
          <w:rFonts w:ascii="Calibri" w:hAnsi="Calibri"/>
          <w:szCs w:val="21"/>
        </w:rPr>
        <w:t xml:space="preserve"> call</w:t>
      </w:r>
    </w:p>
    <w:p w14:paraId="2699C2F2" w14:textId="46D4A257" w:rsidR="00327BC7" w:rsidRDefault="00327BC7" w:rsidP="0037058D">
      <w:pPr>
        <w:pStyle w:val="ListParagraph"/>
        <w:numPr>
          <w:ilvl w:val="2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Broadcast – </w:t>
      </w:r>
      <w:proofErr w:type="spellStart"/>
      <w:r>
        <w:rPr>
          <w:rFonts w:ascii="Calibri" w:hAnsi="Calibri"/>
          <w:szCs w:val="21"/>
        </w:rPr>
        <w:t>fi_broadcast</w:t>
      </w:r>
      <w:proofErr w:type="spellEnd"/>
      <w:r>
        <w:rPr>
          <w:rFonts w:ascii="Calibri" w:hAnsi="Calibri"/>
          <w:szCs w:val="21"/>
        </w:rPr>
        <w:t xml:space="preserve"> static inline</w:t>
      </w:r>
      <w:r w:rsidR="00FB325C">
        <w:rPr>
          <w:rFonts w:ascii="Calibri" w:hAnsi="Calibri"/>
          <w:szCs w:val="21"/>
        </w:rPr>
        <w:t xml:space="preserve"> </w:t>
      </w:r>
      <w:r w:rsidR="00FB325C" w:rsidRPr="00FB325C">
        <w:rPr>
          <w:rFonts w:ascii="Calibri" w:hAnsi="Calibri"/>
          <w:szCs w:val="21"/>
        </w:rPr>
        <w:sym w:font="Wingdings" w:char="F0E0"/>
      </w:r>
      <w:r>
        <w:rPr>
          <w:rFonts w:ascii="Calibri" w:hAnsi="Calibri"/>
          <w:szCs w:val="21"/>
        </w:rPr>
        <w:t xml:space="preserve"> </w:t>
      </w:r>
      <w:proofErr w:type="spellStart"/>
      <w:r>
        <w:rPr>
          <w:rFonts w:ascii="Calibri" w:hAnsi="Calibri"/>
          <w:szCs w:val="21"/>
        </w:rPr>
        <w:t>fi_atomic</w:t>
      </w:r>
      <w:proofErr w:type="spellEnd"/>
      <w:r>
        <w:rPr>
          <w:rFonts w:ascii="Calibri" w:hAnsi="Calibri"/>
          <w:szCs w:val="21"/>
        </w:rPr>
        <w:t xml:space="preserve"> call mapped to FI_WRITE</w:t>
      </w:r>
      <w:r w:rsidR="00FB325C">
        <w:rPr>
          <w:rFonts w:ascii="Calibri" w:hAnsi="Calibri"/>
          <w:szCs w:val="21"/>
        </w:rPr>
        <w:t>/FI_READ depending on which side the broadcast you are on.</w:t>
      </w:r>
    </w:p>
    <w:p w14:paraId="464BD4BF" w14:textId="2081102D" w:rsidR="00FB325C" w:rsidRDefault="00FB325C" w:rsidP="0037058D">
      <w:pPr>
        <w:pStyle w:val="ListParagraph"/>
        <w:numPr>
          <w:ilvl w:val="2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All reduce – maps to </w:t>
      </w:r>
      <w:proofErr w:type="spellStart"/>
      <w:r>
        <w:rPr>
          <w:rFonts w:ascii="Calibri" w:hAnsi="Calibri"/>
          <w:szCs w:val="21"/>
        </w:rPr>
        <w:t>fi_fetch_atomic</w:t>
      </w:r>
      <w:proofErr w:type="spellEnd"/>
    </w:p>
    <w:p w14:paraId="12564486" w14:textId="25CF20CD" w:rsidR="00FB325C" w:rsidRDefault="00FB325C" w:rsidP="0037058D">
      <w:pPr>
        <w:pStyle w:val="ListParagraph"/>
        <w:numPr>
          <w:ilvl w:val="2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All to All – does not map well to any existing call. Can map to atomic fetch but with some restrictions, i.e. type is replaced by number of bytes and all </w:t>
      </w:r>
      <w:r w:rsidR="00D261B7">
        <w:rPr>
          <w:rFonts w:ascii="Calibri" w:hAnsi="Calibri"/>
          <w:szCs w:val="21"/>
        </w:rPr>
        <w:t>peers are sending the same amount of data (number of bytes)</w:t>
      </w:r>
      <w:r>
        <w:rPr>
          <w:rFonts w:ascii="Calibri" w:hAnsi="Calibri"/>
          <w:szCs w:val="21"/>
        </w:rPr>
        <w:t>?</w:t>
      </w:r>
    </w:p>
    <w:p w14:paraId="20A8C13F" w14:textId="4634C987" w:rsidR="00D261B7" w:rsidRPr="0037058D" w:rsidRDefault="00D261B7" w:rsidP="0037058D">
      <w:pPr>
        <w:pStyle w:val="ListParagraph"/>
        <w:numPr>
          <w:ilvl w:val="2"/>
          <w:numId w:val="2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 few more to be discussed (left for next meeting)</w:t>
      </w:r>
    </w:p>
    <w:p w14:paraId="304DB3E6" w14:textId="668C1755" w:rsidR="003F4C7F" w:rsidRDefault="003F4C7F" w:rsidP="00FB325C">
      <w:pPr>
        <w:rPr>
          <w:rFonts w:ascii="Calibri" w:hAnsi="Calibri"/>
          <w:szCs w:val="21"/>
        </w:rPr>
      </w:pPr>
    </w:p>
    <w:p w14:paraId="6D95B195" w14:textId="276800A1" w:rsidR="003F4C7F" w:rsidRDefault="003F4C7F" w:rsidP="003F4C7F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lastRenderedPageBreak/>
        <w:tab/>
      </w:r>
      <w:bookmarkStart w:id="0" w:name="_GoBack"/>
      <w:bookmarkEnd w:id="0"/>
    </w:p>
    <w:p w14:paraId="1D4704A6" w14:textId="77777777" w:rsidR="00AA0D30" w:rsidRDefault="00AA0D30" w:rsidP="00EC01B1">
      <w:pPr>
        <w:spacing w:after="0"/>
        <w:rPr>
          <w:rFonts w:ascii="Calibri" w:hAnsi="Calibri"/>
          <w:b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78A7DEBA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9017F0">
        <w:rPr>
          <w:rFonts w:ascii="Calibri" w:hAnsi="Calibri"/>
          <w:szCs w:val="21"/>
        </w:rPr>
        <w:t xml:space="preserve">May </w:t>
      </w:r>
      <w:r w:rsidR="00FB325C">
        <w:rPr>
          <w:rFonts w:ascii="Calibri" w:hAnsi="Calibri"/>
          <w:szCs w:val="21"/>
        </w:rPr>
        <w:t>21</w:t>
      </w:r>
      <w:r w:rsidR="00AA0D30">
        <w:rPr>
          <w:rFonts w:ascii="Calibri" w:hAnsi="Calibri"/>
          <w:szCs w:val="21"/>
        </w:rPr>
        <w:t>,</w:t>
      </w:r>
      <w:r w:rsidR="00042439">
        <w:rPr>
          <w:rFonts w:ascii="Calibri" w:hAnsi="Calibri"/>
          <w:szCs w:val="21"/>
        </w:rPr>
        <w:t xml:space="preserve"> 2019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29F4FF" w14:textId="77777777"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82"/>
        <w:gridCol w:w="133"/>
        <w:gridCol w:w="45"/>
      </w:tblGrid>
      <w:tr w:rsidR="00A83ADC" w:rsidRPr="00A83ADC" w14:paraId="758CC4E6" w14:textId="77777777" w:rsidTr="00A83ADC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DE450" w14:textId="77777777" w:rsidR="00A83ADC" w:rsidRPr="00A83ADC" w:rsidRDefault="00A83ADC" w:rsidP="00A83ADC">
            <w:pPr>
              <w:framePr w:h="1501" w:hRule="exact" w:hSpace="45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A83ADC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May 7, 2019</w:t>
            </w:r>
          </w:p>
        </w:tc>
      </w:tr>
      <w:tr w:rsidR="00A83ADC" w:rsidRPr="00A83ADC" w14:paraId="7A3DCF60" w14:textId="77777777" w:rsidTr="00A83ADC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AA4B7" w14:textId="77777777" w:rsidR="00A83ADC" w:rsidRPr="00A83ADC" w:rsidRDefault="00A83ADC" w:rsidP="00A83ADC">
            <w:pPr>
              <w:framePr w:h="1501" w:hRule="exact" w:hSpace="45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A83ADC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12:04 pm  |  Eastern Daylight Time (New York, GMT-04:00)</w:t>
            </w:r>
          </w:p>
        </w:tc>
      </w:tr>
      <w:tr w:rsidR="00A83ADC" w:rsidRPr="00A83ADC" w14:paraId="0109F6D4" w14:textId="77777777" w:rsidTr="00A83ADC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92916" w14:textId="77777777" w:rsidR="00A83ADC" w:rsidRPr="00A83ADC" w:rsidRDefault="00A83ADC" w:rsidP="00A83ADC">
            <w:pPr>
              <w:framePr w:h="1501" w:hRule="exact" w:hSpace="45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hyperlink r:id="rId6" w:history="1">
              <w:r w:rsidRPr="00A83ADC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Play recording</w:t>
              </w:r>
            </w:hyperlink>
            <w:r w:rsidRPr="00A83ADC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(59 min 11 sec)</w:t>
            </w:r>
          </w:p>
        </w:tc>
      </w:tr>
      <w:tr w:rsidR="00A83ADC" w:rsidRPr="00A83ADC" w14:paraId="2CCD3F2A" w14:textId="77777777" w:rsidTr="00A83ADC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EE194" w14:textId="77777777" w:rsidR="00A83ADC" w:rsidRPr="00A83ADC" w:rsidRDefault="00A83ADC" w:rsidP="00A83ADC">
            <w:pPr>
              <w:framePr w:h="1501" w:hRule="exact" w:hSpace="45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A83ADC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SrPJt7qb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0DE4E" w14:textId="77777777" w:rsidR="00A83ADC" w:rsidRPr="00A83ADC" w:rsidRDefault="00A83ADC" w:rsidP="00A83ADC">
            <w:pPr>
              <w:framePr w:h="1501" w:hRule="exact" w:hSpace="45" w:wrap="around" w:vAnchor="text" w:hAnchor="text" w:y="3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14:paraId="3049A058" w14:textId="77777777" w:rsidR="00A83ADC" w:rsidRPr="00A83ADC" w:rsidRDefault="00A83ADC" w:rsidP="00A83ADC">
      <w:pPr>
        <w:framePr w:h="1501" w:hRule="exact" w:hSpace="45" w:wrap="around" w:vAnchor="text" w:hAnchor="text" w:y="3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A83ADC" w:rsidRPr="00A83ADC" w14:paraId="7402D198" w14:textId="77777777" w:rsidTr="00A83ADC">
        <w:trPr>
          <w:trHeight w:val="38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91D39" w14:textId="77777777" w:rsidR="00A83ADC" w:rsidRPr="00A83ADC" w:rsidRDefault="00A83ADC" w:rsidP="00A83ADC">
            <w:pPr>
              <w:framePr w:h="1501" w:hRule="exact" w:hSpace="45" w:wrap="around" w:vAnchor="text" w:hAnchor="text" w:y="3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A83ADC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14:paraId="2B2FB5C5" w14:textId="77777777" w:rsidR="00A83ADC" w:rsidRPr="00A83ADC" w:rsidRDefault="00A83ADC" w:rsidP="00A83ADC">
      <w:pPr>
        <w:framePr w:h="1501" w:hRule="exact" w:hSpace="45" w:wrap="around" w:vAnchor="text" w:hAnchor="text" w:y="3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14:paraId="09D00E03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7777777"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069B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479FB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4FE4"/>
    <w:rsid w:val="002F5035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27BC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F082B"/>
    <w:rsid w:val="003F1303"/>
    <w:rsid w:val="003F15D3"/>
    <w:rsid w:val="003F3B80"/>
    <w:rsid w:val="003F4C7F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26BB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158F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6B2B"/>
    <w:rsid w:val="00736E80"/>
    <w:rsid w:val="007402EB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0A85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4F6"/>
    <w:rsid w:val="008C37F5"/>
    <w:rsid w:val="008C38BB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A3F5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50D5"/>
    <w:rsid w:val="00BB5E1F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963E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4B1C"/>
    <w:rsid w:val="00D4390D"/>
    <w:rsid w:val="00D43F43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8759C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29BF"/>
    <w:rsid w:val="00E23365"/>
    <w:rsid w:val="00E33AC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110B0"/>
    <w:rsid w:val="00F139CC"/>
    <w:rsid w:val="00F178CC"/>
    <w:rsid w:val="00F202EE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/lsr.php?RCID=e4f731dfd65d439ab1519b36ac01a59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8BC6-6954-4EB5-BE4F-FA2CA8E2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5</cp:revision>
  <dcterms:created xsi:type="dcterms:W3CDTF">2019-04-23T21:08:00Z</dcterms:created>
  <dcterms:modified xsi:type="dcterms:W3CDTF">2019-05-09T00:30:00Z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